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A6190F" w14:textId="77777777" w:rsidR="005C3570" w:rsidRPr="005C3570" w:rsidRDefault="005C3570" w:rsidP="005C3570">
      <w:pPr>
        <w:pStyle w:val="Question"/>
        <w:numPr>
          <w:ilvl w:val="0"/>
          <w:numId w:val="0"/>
        </w:numPr>
        <w:ind w:left="360"/>
      </w:pPr>
      <w:r w:rsidRPr="005C3570">
        <w:rPr>
          <w:rFonts w:asciiTheme="majorHAnsi" w:eastAsiaTheme="majorEastAsia" w:hAnsiTheme="majorHAnsi" w:cstheme="majorBidi"/>
          <w:spacing w:val="-10"/>
          <w:kern w:val="28"/>
          <w:sz w:val="56"/>
          <w:szCs w:val="56"/>
        </w:rPr>
        <w:t xml:space="preserve">IAOB Office Audit NCs </w:t>
      </w:r>
    </w:p>
    <w:p w14:paraId="0B7BBC21" w14:textId="1F89CA3D" w:rsidR="005C3570" w:rsidRDefault="005C3570" w:rsidP="005C3570">
      <w:pPr>
        <w:pStyle w:val="ListParagraph"/>
        <w:numPr>
          <w:ilvl w:val="0"/>
          <w:numId w:val="3"/>
        </w:numPr>
      </w:pPr>
      <w:r>
        <w:t xml:space="preserve">The IATF Rules do not specify management review inputs for certification bodies, and only requires that we conduct management review.   </w:t>
      </w:r>
      <w:proofErr w:type="gramStart"/>
      <w:r>
        <w:t>True  /</w:t>
      </w:r>
      <w:proofErr w:type="gramEnd"/>
      <w:r>
        <w:t xml:space="preserve">  False</w:t>
      </w:r>
    </w:p>
    <w:p w14:paraId="04204A46" w14:textId="77777777" w:rsidR="005C3570" w:rsidRDefault="005C3570" w:rsidP="005C3570">
      <w:pPr>
        <w:pStyle w:val="ListParagraph"/>
      </w:pPr>
    </w:p>
    <w:p w14:paraId="24ECE524" w14:textId="65CE172D" w:rsidR="005C3570" w:rsidRDefault="005C3570" w:rsidP="005C3570">
      <w:pPr>
        <w:pStyle w:val="ListParagraph"/>
        <w:numPr>
          <w:ilvl w:val="0"/>
          <w:numId w:val="3"/>
        </w:numPr>
      </w:pPr>
      <w:r>
        <w:t xml:space="preserve">Automotive separation or dedicated to automotive must be verified at each audit.  </w:t>
      </w:r>
      <w:proofErr w:type="gramStart"/>
      <w:r>
        <w:t>True  /</w:t>
      </w:r>
      <w:proofErr w:type="gramEnd"/>
      <w:r>
        <w:t xml:space="preserve">  False</w:t>
      </w:r>
    </w:p>
    <w:p w14:paraId="2E5BF895" w14:textId="77777777" w:rsidR="005C3570" w:rsidRDefault="005C3570" w:rsidP="005C3570"/>
    <w:p w14:paraId="2F1F592E" w14:textId="219D4B5A" w:rsidR="005C3570" w:rsidRDefault="005C3570" w:rsidP="005C3570">
      <w:pPr>
        <w:pStyle w:val="ListParagraph"/>
        <w:numPr>
          <w:ilvl w:val="0"/>
          <w:numId w:val="3"/>
        </w:numPr>
      </w:pPr>
      <w:r w:rsidRPr="00DE6067">
        <w:t>Clients must have at least 1 valid automotive customer (OEM or automotive Tier customers) / or be on an active bid list for automotive</w:t>
      </w:r>
      <w:r>
        <w:t xml:space="preserve">, or supply to aftermarket.  </w:t>
      </w:r>
      <w:proofErr w:type="gramStart"/>
      <w:r>
        <w:t>True  /</w:t>
      </w:r>
      <w:proofErr w:type="gramEnd"/>
      <w:r>
        <w:t xml:space="preserve">  False</w:t>
      </w:r>
      <w:r w:rsidRPr="00DE6067">
        <w:t>.</w:t>
      </w:r>
    </w:p>
    <w:p w14:paraId="2A608F3E" w14:textId="77777777" w:rsidR="005C3570" w:rsidRDefault="005C3570" w:rsidP="005C3570"/>
    <w:p w14:paraId="60ACF34B" w14:textId="421EE5A6" w:rsidR="005C3570" w:rsidRDefault="005C3570" w:rsidP="005C3570">
      <w:pPr>
        <w:pStyle w:val="ListParagraph"/>
        <w:numPr>
          <w:ilvl w:val="0"/>
          <w:numId w:val="3"/>
        </w:numPr>
      </w:pPr>
      <w:r>
        <w:t xml:space="preserve">OEM supplier codes must be accurate when </w:t>
      </w:r>
      <w:proofErr w:type="gramStart"/>
      <w:r>
        <w:t>reported, but</w:t>
      </w:r>
      <w:proofErr w:type="gramEnd"/>
      <w:r>
        <w:t xml:space="preserve"> are optional.  </w:t>
      </w:r>
      <w:proofErr w:type="gramStart"/>
      <w:r>
        <w:t>True  /</w:t>
      </w:r>
      <w:proofErr w:type="gramEnd"/>
      <w:r>
        <w:t xml:space="preserve">  False</w:t>
      </w:r>
    </w:p>
    <w:p w14:paraId="365CFB1B" w14:textId="77777777" w:rsidR="005C3570" w:rsidRPr="00DE6067" w:rsidRDefault="005C3570" w:rsidP="005C3570"/>
    <w:p w14:paraId="65FE6191" w14:textId="0870EFC3" w:rsidR="005C3570" w:rsidRDefault="005C3570" w:rsidP="005C3570">
      <w:pPr>
        <w:pStyle w:val="ListParagraph"/>
        <w:numPr>
          <w:ilvl w:val="0"/>
          <w:numId w:val="3"/>
        </w:numPr>
      </w:pPr>
      <w:r w:rsidRPr="00DE6067">
        <w:t>100% resolved with a corrective action plan is to be used only in rare and exceptional cases</w:t>
      </w:r>
      <w:r>
        <w:t xml:space="preserve"> and should be used sparingly.  </w:t>
      </w:r>
      <w:proofErr w:type="gramStart"/>
      <w:r>
        <w:t>True  /</w:t>
      </w:r>
      <w:proofErr w:type="gramEnd"/>
      <w:r>
        <w:t xml:space="preserve">  False  </w:t>
      </w:r>
    </w:p>
    <w:p w14:paraId="6FAAC30F" w14:textId="77777777" w:rsidR="005C3570" w:rsidRPr="00DE6067" w:rsidRDefault="005C3570" w:rsidP="005C3570"/>
    <w:p w14:paraId="6AF1ED9C" w14:textId="26A0E2D0" w:rsidR="005C3570" w:rsidRDefault="005C3570" w:rsidP="005C3570">
      <w:pPr>
        <w:pStyle w:val="ListParagraph"/>
        <w:numPr>
          <w:ilvl w:val="0"/>
          <w:numId w:val="3"/>
        </w:numPr>
      </w:pPr>
      <w:r w:rsidRPr="00DE6067">
        <w:t xml:space="preserve">A significant number of documents to be reviewed for revised is </w:t>
      </w:r>
      <w:r>
        <w:t xml:space="preserve">an </w:t>
      </w:r>
      <w:r w:rsidRPr="00DE6067">
        <w:t>acceptable</w:t>
      </w:r>
      <w:r>
        <w:t xml:space="preserve"> case for using 100% resolved.  </w:t>
      </w:r>
      <w:proofErr w:type="gramStart"/>
      <w:r>
        <w:t>True  /</w:t>
      </w:r>
      <w:proofErr w:type="gramEnd"/>
      <w:r>
        <w:t xml:space="preserve">  False</w:t>
      </w:r>
    </w:p>
    <w:p w14:paraId="052A045B" w14:textId="77777777" w:rsidR="005C3570" w:rsidRDefault="005C3570" w:rsidP="005C3570"/>
    <w:p w14:paraId="5E357620" w14:textId="28FA3B70" w:rsidR="005C3570" w:rsidRDefault="005C3570" w:rsidP="005C3570">
      <w:pPr>
        <w:pStyle w:val="ListParagraph"/>
        <w:numPr>
          <w:ilvl w:val="0"/>
          <w:numId w:val="3"/>
        </w:numPr>
      </w:pPr>
      <w:r>
        <w:t xml:space="preserve">Feedback from interested parties is an input to management review.  </w:t>
      </w:r>
      <w:proofErr w:type="gramStart"/>
      <w:r>
        <w:t>True  /</w:t>
      </w:r>
      <w:proofErr w:type="gramEnd"/>
      <w:r>
        <w:t xml:space="preserve">  False</w:t>
      </w:r>
    </w:p>
    <w:p w14:paraId="22C700E5" w14:textId="77777777" w:rsidR="005C3570" w:rsidRDefault="005C3570" w:rsidP="005C3570"/>
    <w:p w14:paraId="44019E97" w14:textId="77777777" w:rsidR="005C3570" w:rsidRPr="00DE6067" w:rsidRDefault="005C3570" w:rsidP="005C3570">
      <w:pPr>
        <w:pStyle w:val="ListParagraph"/>
        <w:numPr>
          <w:ilvl w:val="0"/>
          <w:numId w:val="3"/>
        </w:numPr>
      </w:pPr>
      <w:r>
        <w:t xml:space="preserve">Expense receipts are optional, especially if travel arrangements or accommodation are paid by the customer.  </w:t>
      </w:r>
      <w:proofErr w:type="gramStart"/>
      <w:r>
        <w:t>True  /</w:t>
      </w:r>
      <w:proofErr w:type="gramEnd"/>
      <w:r>
        <w:t xml:space="preserve">  False</w:t>
      </w:r>
      <w:r w:rsidRPr="00DE6067">
        <w:t>.</w:t>
      </w:r>
    </w:p>
    <w:p w14:paraId="73E12358" w14:textId="42A8AC16" w:rsidR="00D075A1" w:rsidRDefault="00D075A1" w:rsidP="005C3570">
      <w:pPr>
        <w:pStyle w:val="Answer"/>
        <w:numPr>
          <w:ilvl w:val="0"/>
          <w:numId w:val="0"/>
        </w:numPr>
      </w:pPr>
    </w:p>
    <w:p w14:paraId="5BDE9B50" w14:textId="05F9254E" w:rsidR="005C3570" w:rsidRDefault="005C3570" w:rsidP="005C3570">
      <w:pPr>
        <w:pStyle w:val="Answer"/>
        <w:numPr>
          <w:ilvl w:val="0"/>
          <w:numId w:val="0"/>
        </w:numPr>
      </w:pPr>
    </w:p>
    <w:p w14:paraId="4218E1A0" w14:textId="4F948B1E" w:rsidR="005C3570" w:rsidRDefault="005C3570" w:rsidP="005C3570">
      <w:pPr>
        <w:pStyle w:val="Answer"/>
        <w:numPr>
          <w:ilvl w:val="0"/>
          <w:numId w:val="0"/>
        </w:numPr>
      </w:pPr>
    </w:p>
    <w:p w14:paraId="10A9EF7E" w14:textId="62557655" w:rsidR="005C3570" w:rsidRDefault="005C3570" w:rsidP="005C3570">
      <w:pPr>
        <w:pStyle w:val="Answer"/>
        <w:numPr>
          <w:ilvl w:val="0"/>
          <w:numId w:val="0"/>
        </w:numPr>
      </w:pPr>
    </w:p>
    <w:p w14:paraId="03A9989D" w14:textId="1C506A92" w:rsidR="005C3570" w:rsidRDefault="005C3570" w:rsidP="005C3570">
      <w:pPr>
        <w:pStyle w:val="Answer"/>
        <w:numPr>
          <w:ilvl w:val="0"/>
          <w:numId w:val="0"/>
        </w:numPr>
      </w:pPr>
    </w:p>
    <w:p w14:paraId="54152AF8" w14:textId="4B1E5452" w:rsidR="005C3570" w:rsidRDefault="005C3570" w:rsidP="005C3570">
      <w:pPr>
        <w:pStyle w:val="Answer"/>
        <w:numPr>
          <w:ilvl w:val="0"/>
          <w:numId w:val="0"/>
        </w:numPr>
      </w:pPr>
    </w:p>
    <w:p w14:paraId="65959AAA" w14:textId="375B5389" w:rsidR="005C3570" w:rsidRDefault="005C3570" w:rsidP="005C3570">
      <w:pPr>
        <w:pStyle w:val="Answer"/>
        <w:numPr>
          <w:ilvl w:val="0"/>
          <w:numId w:val="0"/>
        </w:numPr>
      </w:pPr>
    </w:p>
    <w:p w14:paraId="45A07833" w14:textId="383016AB" w:rsidR="005C3570" w:rsidRDefault="005C3570" w:rsidP="005C3570">
      <w:pPr>
        <w:pStyle w:val="Answer"/>
        <w:numPr>
          <w:ilvl w:val="0"/>
          <w:numId w:val="0"/>
        </w:numPr>
      </w:pPr>
    </w:p>
    <w:p w14:paraId="65425C3F" w14:textId="77777777" w:rsidR="005C3570" w:rsidRPr="005C3570" w:rsidRDefault="005C3570" w:rsidP="005C3570">
      <w:pPr>
        <w:rPr>
          <w:rFonts w:asciiTheme="majorHAnsi" w:hAnsiTheme="majorHAnsi" w:cstheme="majorHAnsi"/>
          <w:sz w:val="56"/>
          <w:szCs w:val="56"/>
        </w:rPr>
      </w:pPr>
      <w:r w:rsidRPr="005C3570">
        <w:rPr>
          <w:rFonts w:asciiTheme="majorHAnsi" w:hAnsiTheme="majorHAnsi" w:cstheme="majorHAnsi"/>
          <w:sz w:val="56"/>
          <w:szCs w:val="56"/>
        </w:rPr>
        <w:t>IAOB Witness Audit NCs</w:t>
      </w:r>
    </w:p>
    <w:p w14:paraId="27E2654E" w14:textId="155CFAA0" w:rsidR="005C3570" w:rsidRDefault="005C3570" w:rsidP="005C3570">
      <w:pPr>
        <w:pStyle w:val="Answer"/>
        <w:numPr>
          <w:ilvl w:val="0"/>
          <w:numId w:val="0"/>
        </w:numPr>
      </w:pPr>
    </w:p>
    <w:p w14:paraId="4C94D797" w14:textId="76B4EBC3" w:rsidR="005C3570" w:rsidRDefault="005C3570" w:rsidP="005C3570">
      <w:pPr>
        <w:pStyle w:val="ListParagraph"/>
        <w:numPr>
          <w:ilvl w:val="0"/>
          <w:numId w:val="4"/>
        </w:numPr>
      </w:pPr>
      <w:r>
        <w:t xml:space="preserve">CSRs should be accurately provided by the customer as requested in the pre planning letter.  </w:t>
      </w:r>
      <w:proofErr w:type="gramStart"/>
      <w:r>
        <w:t>True  /</w:t>
      </w:r>
      <w:proofErr w:type="gramEnd"/>
      <w:r>
        <w:t xml:space="preserve">  False</w:t>
      </w:r>
    </w:p>
    <w:p w14:paraId="15C585EA" w14:textId="77777777" w:rsidR="005C3570" w:rsidRDefault="005C3570" w:rsidP="005C3570"/>
    <w:p w14:paraId="051FA3A3" w14:textId="08276EDA" w:rsidR="005C3570" w:rsidRDefault="005C3570" w:rsidP="005C3570">
      <w:pPr>
        <w:pStyle w:val="ListParagraph"/>
        <w:numPr>
          <w:ilvl w:val="0"/>
          <w:numId w:val="4"/>
        </w:numPr>
      </w:pPr>
      <w:r>
        <w:t xml:space="preserve">During the SQA audit of clients, the process matrix in the SQA-78 should be used to identify applicable IATF requirements for each process audited.  </w:t>
      </w:r>
      <w:proofErr w:type="gramStart"/>
      <w:r>
        <w:t>True  /</w:t>
      </w:r>
      <w:proofErr w:type="gramEnd"/>
      <w:r>
        <w:t xml:space="preserve">  False</w:t>
      </w:r>
    </w:p>
    <w:p w14:paraId="6BD45412" w14:textId="77777777" w:rsidR="005C3570" w:rsidRDefault="005C3570" w:rsidP="005C3570"/>
    <w:p w14:paraId="29D54748" w14:textId="5A5AC65F" w:rsidR="005C3570" w:rsidRDefault="005C3570" w:rsidP="005C3570">
      <w:pPr>
        <w:pStyle w:val="ListParagraph"/>
        <w:numPr>
          <w:ilvl w:val="0"/>
          <w:numId w:val="4"/>
        </w:numPr>
      </w:pPr>
      <w:r>
        <w:t xml:space="preserve">The IATF supplemental </w:t>
      </w:r>
      <w:r>
        <w:t>check sheet</w:t>
      </w:r>
      <w:r>
        <w:t xml:space="preserve"> is still required to be submitted if the standard SQA-05 IATF </w:t>
      </w:r>
      <w:r>
        <w:t>check sheet</w:t>
      </w:r>
      <w:r>
        <w:t xml:space="preserve"> is not filled out correctly.   True </w:t>
      </w:r>
      <w:proofErr w:type="gramStart"/>
      <w:r>
        <w:t>/  False</w:t>
      </w:r>
      <w:proofErr w:type="gramEnd"/>
    </w:p>
    <w:p w14:paraId="67791AC1" w14:textId="77777777" w:rsidR="005C3570" w:rsidRDefault="005C3570" w:rsidP="005C3570"/>
    <w:p w14:paraId="761C6F4B" w14:textId="562C0337" w:rsidR="005C3570" w:rsidRDefault="005C3570" w:rsidP="005C3570">
      <w:pPr>
        <w:pStyle w:val="ListParagraph"/>
        <w:numPr>
          <w:ilvl w:val="0"/>
          <w:numId w:val="4"/>
        </w:numPr>
      </w:pPr>
      <w:r>
        <w:t xml:space="preserve">The SQA Marketing Guidelines are optional.  The IATF logo may be used if approved by SQA.  </w:t>
      </w:r>
      <w:proofErr w:type="gramStart"/>
      <w:r>
        <w:t>True  /</w:t>
      </w:r>
      <w:proofErr w:type="gramEnd"/>
      <w:r>
        <w:t xml:space="preserve">  False</w:t>
      </w:r>
    </w:p>
    <w:p w14:paraId="718446CB" w14:textId="77777777" w:rsidR="005C3570" w:rsidRDefault="005C3570" w:rsidP="005C3570"/>
    <w:p w14:paraId="3BE67DCB" w14:textId="2BA4D503" w:rsidR="005C3570" w:rsidRDefault="005C3570" w:rsidP="005C3570">
      <w:pPr>
        <w:pStyle w:val="ListParagraph"/>
        <w:numPr>
          <w:ilvl w:val="0"/>
          <w:numId w:val="4"/>
        </w:numPr>
      </w:pPr>
      <w:r>
        <w:t xml:space="preserve">Unconnected buildings are not part of the scope of a site and do not need to be sampled.  </w:t>
      </w:r>
      <w:proofErr w:type="gramStart"/>
      <w:r>
        <w:t>True  /</w:t>
      </w:r>
      <w:proofErr w:type="gramEnd"/>
      <w:r>
        <w:t xml:space="preserve">  False</w:t>
      </w:r>
    </w:p>
    <w:p w14:paraId="6D8CA768" w14:textId="77777777" w:rsidR="005C3570" w:rsidRDefault="005C3570" w:rsidP="005C3570"/>
    <w:p w14:paraId="14749DCE" w14:textId="631AEE6B" w:rsidR="005C3570" w:rsidRDefault="005C3570" w:rsidP="005C3570">
      <w:pPr>
        <w:pStyle w:val="ListParagraph"/>
        <w:numPr>
          <w:ilvl w:val="0"/>
          <w:numId w:val="4"/>
        </w:numPr>
      </w:pPr>
      <w:r>
        <w:t xml:space="preserve">Auditors should ensure that each identified process on the audit plan is thoroughly audited for all pertinent requirements.  All support processes should be audited at least once during the surveillance cycle.  Design is required to be audited annually.  </w:t>
      </w:r>
      <w:proofErr w:type="gramStart"/>
      <w:r>
        <w:t>True  /</w:t>
      </w:r>
      <w:proofErr w:type="gramEnd"/>
      <w:r>
        <w:t xml:space="preserve">  False</w:t>
      </w:r>
    </w:p>
    <w:p w14:paraId="1B396287" w14:textId="77777777" w:rsidR="005C3570" w:rsidRDefault="005C3570" w:rsidP="005C3570"/>
    <w:p w14:paraId="17721E93" w14:textId="100BA920" w:rsidR="005C3570" w:rsidRDefault="005C3570" w:rsidP="005C3570">
      <w:pPr>
        <w:pStyle w:val="ListParagraph"/>
        <w:numPr>
          <w:ilvl w:val="0"/>
          <w:numId w:val="4"/>
        </w:numPr>
      </w:pPr>
      <w:r>
        <w:t xml:space="preserve">SQA IATF auditors should be aware of the IATF rules for when waivers are required.  If there are any questions, contact the SQA office.  </w:t>
      </w:r>
      <w:proofErr w:type="gramStart"/>
      <w:r>
        <w:t>True  /</w:t>
      </w:r>
      <w:proofErr w:type="gramEnd"/>
      <w:r>
        <w:t xml:space="preserve">  False</w:t>
      </w:r>
    </w:p>
    <w:p w14:paraId="2A63DB30" w14:textId="77777777" w:rsidR="005C3570" w:rsidRDefault="005C3570" w:rsidP="005C3570"/>
    <w:p w14:paraId="3CA3B724" w14:textId="7BC61C67" w:rsidR="005C3570" w:rsidRDefault="005C3570" w:rsidP="005C3570">
      <w:pPr>
        <w:pStyle w:val="ListParagraph"/>
        <w:numPr>
          <w:ilvl w:val="0"/>
          <w:numId w:val="4"/>
        </w:numPr>
      </w:pPr>
      <w:r>
        <w:t xml:space="preserve">The SQA-125 Pre-Audit Planning Worksheet is optional at only filled out at the discretion of the auditor.  </w:t>
      </w:r>
      <w:proofErr w:type="gramStart"/>
      <w:r>
        <w:t>True  /</w:t>
      </w:r>
      <w:proofErr w:type="gramEnd"/>
      <w:r>
        <w:t xml:space="preserve">  False</w:t>
      </w:r>
    </w:p>
    <w:p w14:paraId="7A3C87D6" w14:textId="77777777" w:rsidR="005C3570" w:rsidRDefault="005C3570" w:rsidP="005C3570"/>
    <w:p w14:paraId="6FB5A71C" w14:textId="77777777" w:rsidR="005C3570" w:rsidRDefault="005C3570" w:rsidP="005C3570">
      <w:pPr>
        <w:pStyle w:val="ListParagraph"/>
        <w:numPr>
          <w:ilvl w:val="0"/>
          <w:numId w:val="4"/>
        </w:numPr>
      </w:pPr>
      <w:r>
        <w:t xml:space="preserve">Auditors should always as if they were being witnessed.  </w:t>
      </w:r>
      <w:proofErr w:type="gramStart"/>
      <w:r>
        <w:t>True  /</w:t>
      </w:r>
      <w:proofErr w:type="gramEnd"/>
      <w:r>
        <w:t xml:space="preserve">  False</w:t>
      </w:r>
    </w:p>
    <w:p w14:paraId="2B078E4A" w14:textId="4CB7AC79" w:rsidR="005C3570" w:rsidRDefault="005C3570" w:rsidP="005C3570">
      <w:pPr>
        <w:pStyle w:val="Answer"/>
        <w:numPr>
          <w:ilvl w:val="0"/>
          <w:numId w:val="0"/>
        </w:numPr>
      </w:pPr>
    </w:p>
    <w:p w14:paraId="3D60892E" w14:textId="3B7B80C7" w:rsidR="005C3570" w:rsidRDefault="005C3570" w:rsidP="005C3570">
      <w:pPr>
        <w:pStyle w:val="Answer"/>
        <w:numPr>
          <w:ilvl w:val="0"/>
          <w:numId w:val="0"/>
        </w:numPr>
      </w:pPr>
    </w:p>
    <w:p w14:paraId="0C082EAF" w14:textId="30F3A1A1" w:rsidR="005C3570" w:rsidRDefault="005C3570" w:rsidP="005C3570">
      <w:pPr>
        <w:pStyle w:val="Answer"/>
        <w:numPr>
          <w:ilvl w:val="0"/>
          <w:numId w:val="0"/>
        </w:numPr>
      </w:pPr>
    </w:p>
    <w:p w14:paraId="398CD3CC" w14:textId="7BC35957" w:rsidR="005C3570" w:rsidRPr="005C3570" w:rsidRDefault="005C3570" w:rsidP="005C3570">
      <w:pPr>
        <w:pStyle w:val="ListParagraph"/>
        <w:ind w:left="0"/>
        <w:rPr>
          <w:rFonts w:asciiTheme="majorHAnsi" w:hAnsiTheme="majorHAnsi" w:cstheme="majorHAnsi"/>
          <w:sz w:val="56"/>
          <w:szCs w:val="56"/>
        </w:rPr>
      </w:pPr>
      <w:r w:rsidRPr="005C3570">
        <w:rPr>
          <w:rFonts w:asciiTheme="majorHAnsi" w:hAnsiTheme="majorHAnsi" w:cstheme="majorHAnsi"/>
          <w:sz w:val="56"/>
          <w:szCs w:val="56"/>
        </w:rPr>
        <w:t xml:space="preserve">SQA Witness </w:t>
      </w:r>
      <w:r>
        <w:rPr>
          <w:rFonts w:asciiTheme="majorHAnsi" w:hAnsiTheme="majorHAnsi" w:cstheme="majorHAnsi"/>
          <w:sz w:val="56"/>
          <w:szCs w:val="56"/>
        </w:rPr>
        <w:t>A</w:t>
      </w:r>
      <w:r w:rsidRPr="005C3570">
        <w:rPr>
          <w:rFonts w:asciiTheme="majorHAnsi" w:hAnsiTheme="majorHAnsi" w:cstheme="majorHAnsi"/>
          <w:sz w:val="56"/>
          <w:szCs w:val="56"/>
        </w:rPr>
        <w:t>udits</w:t>
      </w:r>
      <w:r>
        <w:rPr>
          <w:rFonts w:asciiTheme="majorHAnsi" w:hAnsiTheme="majorHAnsi" w:cstheme="majorHAnsi"/>
          <w:sz w:val="56"/>
          <w:szCs w:val="56"/>
        </w:rPr>
        <w:br/>
      </w:r>
    </w:p>
    <w:p w14:paraId="0ECE91A9" w14:textId="3BE33546" w:rsidR="005C3570" w:rsidRDefault="005C3570" w:rsidP="005C3570">
      <w:pPr>
        <w:pStyle w:val="ListParagraph"/>
        <w:numPr>
          <w:ilvl w:val="0"/>
          <w:numId w:val="5"/>
        </w:numPr>
        <w:ind w:left="720"/>
      </w:pPr>
      <w:r>
        <w:t xml:space="preserve">Per IATF Rules, SQA is required to conduct an internal witness audit of each IATF auditors at least every 4 years.  </w:t>
      </w:r>
      <w:proofErr w:type="gramStart"/>
      <w:r>
        <w:t>True  /</w:t>
      </w:r>
      <w:proofErr w:type="gramEnd"/>
      <w:r>
        <w:t xml:space="preserve">  False</w:t>
      </w:r>
    </w:p>
    <w:p w14:paraId="167F9067" w14:textId="77777777" w:rsidR="005C3570" w:rsidRDefault="005C3570" w:rsidP="005C3570"/>
    <w:p w14:paraId="25B6C209" w14:textId="77777777" w:rsidR="005C3570" w:rsidRDefault="005C3570" w:rsidP="005C3570">
      <w:pPr>
        <w:pStyle w:val="ListParagraph"/>
        <w:numPr>
          <w:ilvl w:val="0"/>
          <w:numId w:val="5"/>
        </w:numPr>
        <w:ind w:left="720"/>
      </w:pPr>
      <w:r>
        <w:t xml:space="preserve">Per IATF rules, the frequency of internal witness audits must </w:t>
      </w:r>
      <w:proofErr w:type="gramStart"/>
      <w:r>
        <w:t>take into account</w:t>
      </w:r>
      <w:proofErr w:type="gramEnd"/>
      <w:r>
        <w:t xml:space="preserve"> continuous performance monitoring of auditors.  True </w:t>
      </w:r>
      <w:proofErr w:type="gramStart"/>
      <w:r>
        <w:t>/  False</w:t>
      </w:r>
      <w:proofErr w:type="gramEnd"/>
    </w:p>
    <w:p w14:paraId="6F3E8B3D" w14:textId="77777777" w:rsidR="005C3570" w:rsidRDefault="005C3570" w:rsidP="005C3570">
      <w:pPr>
        <w:pStyle w:val="ListParagraph"/>
      </w:pPr>
    </w:p>
    <w:p w14:paraId="4D70974C" w14:textId="1BCB0B6F" w:rsidR="005C3570" w:rsidRDefault="005C3570" w:rsidP="005C3570">
      <w:pPr>
        <w:pStyle w:val="ListParagraph"/>
        <w:ind w:left="0"/>
        <w:rPr>
          <w:rFonts w:asciiTheme="majorHAnsi" w:hAnsiTheme="majorHAnsi" w:cstheme="majorHAnsi"/>
          <w:sz w:val="56"/>
          <w:szCs w:val="56"/>
        </w:rPr>
      </w:pPr>
      <w:r w:rsidRPr="005C3570">
        <w:rPr>
          <w:rFonts w:asciiTheme="majorHAnsi" w:hAnsiTheme="majorHAnsi" w:cstheme="majorHAnsi"/>
          <w:sz w:val="56"/>
          <w:szCs w:val="56"/>
        </w:rPr>
        <w:t xml:space="preserve">SQA IATF Internal </w:t>
      </w:r>
      <w:r>
        <w:rPr>
          <w:rFonts w:asciiTheme="majorHAnsi" w:hAnsiTheme="majorHAnsi" w:cstheme="majorHAnsi"/>
          <w:sz w:val="56"/>
          <w:szCs w:val="56"/>
        </w:rPr>
        <w:t>A</w:t>
      </w:r>
      <w:r w:rsidRPr="005C3570">
        <w:rPr>
          <w:rFonts w:asciiTheme="majorHAnsi" w:hAnsiTheme="majorHAnsi" w:cstheme="majorHAnsi"/>
          <w:sz w:val="56"/>
          <w:szCs w:val="56"/>
        </w:rPr>
        <w:t>udits</w:t>
      </w:r>
    </w:p>
    <w:p w14:paraId="604B17F6" w14:textId="77777777" w:rsidR="005C3570" w:rsidRPr="005C3570" w:rsidRDefault="005C3570" w:rsidP="005C3570">
      <w:pPr>
        <w:pStyle w:val="ListParagraph"/>
        <w:ind w:left="0"/>
        <w:rPr>
          <w:rFonts w:asciiTheme="majorHAnsi" w:hAnsiTheme="majorHAnsi" w:cstheme="majorHAnsi"/>
          <w:sz w:val="56"/>
          <w:szCs w:val="56"/>
        </w:rPr>
      </w:pPr>
    </w:p>
    <w:p w14:paraId="73692D6D" w14:textId="77777777" w:rsidR="005C3570" w:rsidRDefault="005C3570" w:rsidP="005C3570">
      <w:pPr>
        <w:pStyle w:val="ListParagraph"/>
        <w:numPr>
          <w:ilvl w:val="0"/>
          <w:numId w:val="6"/>
        </w:numPr>
      </w:pPr>
      <w:r>
        <w:t xml:space="preserve">Per IATF Rules, SQA is required to conduct an internal audit at least once every 12 months.    </w:t>
      </w:r>
      <w:proofErr w:type="gramStart"/>
      <w:r>
        <w:t>True  /</w:t>
      </w:r>
      <w:proofErr w:type="gramEnd"/>
      <w:r>
        <w:t xml:space="preserve">  False</w:t>
      </w:r>
    </w:p>
    <w:p w14:paraId="2500A13D" w14:textId="77777777" w:rsidR="005C3570" w:rsidRDefault="005C3570" w:rsidP="005C3570">
      <w:pPr>
        <w:pStyle w:val="ListParagraph"/>
        <w:ind w:left="360"/>
      </w:pPr>
    </w:p>
    <w:p w14:paraId="0D8C5DDB" w14:textId="77777777" w:rsidR="005C3570" w:rsidRPr="009A0F75" w:rsidRDefault="005C3570" w:rsidP="005C3570">
      <w:pPr>
        <w:pStyle w:val="Answer"/>
        <w:numPr>
          <w:ilvl w:val="0"/>
          <w:numId w:val="0"/>
        </w:numPr>
      </w:pPr>
    </w:p>
    <w:sectPr w:rsidR="005C3570" w:rsidRPr="009A0F75" w:rsidSect="0062754F">
      <w:headerReference w:type="default" r:id="rId11"/>
      <w:footerReference w:type="even" r:id="rId12"/>
      <w:footerReference w:type="default" r:id="rId13"/>
      <w:headerReference w:type="first" r:id="rId14"/>
      <w:footerReference w:type="first" r:id="rId15"/>
      <w:pgSz w:w="12240" w:h="15840"/>
      <w:pgMar w:top="2610" w:right="1440" w:bottom="189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F7798E" w14:textId="77777777" w:rsidR="00AF68C5" w:rsidRDefault="00AF68C5" w:rsidP="00D5641F">
      <w:r>
        <w:separator/>
      </w:r>
    </w:p>
  </w:endnote>
  <w:endnote w:type="continuationSeparator" w:id="0">
    <w:p w14:paraId="28D66147" w14:textId="77777777" w:rsidR="00AF68C5" w:rsidRDefault="00AF68C5" w:rsidP="00D564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18250056"/>
      <w:docPartObj>
        <w:docPartGallery w:val="Page Numbers (Bottom of Page)"/>
        <w:docPartUnique/>
      </w:docPartObj>
    </w:sdtPr>
    <w:sdtEndPr>
      <w:rPr>
        <w:rStyle w:val="PageNumber"/>
      </w:rPr>
    </w:sdtEndPr>
    <w:sdtContent>
      <w:p w14:paraId="6066F7B7" w14:textId="710F5B6F" w:rsidR="00A45643" w:rsidRDefault="00A45643" w:rsidP="00FA2D55">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E91B9A" w14:textId="77777777" w:rsidR="00A45643" w:rsidRDefault="00A45643" w:rsidP="00A45643">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color w:val="7F7F7F" w:themeColor="text1" w:themeTint="80"/>
      </w:rPr>
      <w:id w:val="-2036415583"/>
      <w:docPartObj>
        <w:docPartGallery w:val="Page Numbers (Bottom of Page)"/>
        <w:docPartUnique/>
      </w:docPartObj>
    </w:sdtPr>
    <w:sdtEndPr>
      <w:rPr>
        <w:rStyle w:val="PageNumber"/>
      </w:rPr>
    </w:sdtEndPr>
    <w:sdtContent>
      <w:p w14:paraId="5F1B315C" w14:textId="25726B07" w:rsidR="00A45643" w:rsidRPr="00A45643" w:rsidRDefault="00A45643" w:rsidP="00FA2D55">
        <w:pPr>
          <w:pStyle w:val="Footer"/>
          <w:framePr w:wrap="none" w:vAnchor="text" w:hAnchor="margin" w:y="1"/>
          <w:rPr>
            <w:rStyle w:val="PageNumber"/>
            <w:color w:val="7F7F7F" w:themeColor="text1" w:themeTint="80"/>
          </w:rPr>
        </w:pPr>
        <w:r w:rsidRPr="00A45643">
          <w:rPr>
            <w:rStyle w:val="PageNumber"/>
            <w:color w:val="7F7F7F" w:themeColor="text1" w:themeTint="80"/>
          </w:rPr>
          <w:fldChar w:fldCharType="begin"/>
        </w:r>
        <w:r w:rsidRPr="00A45643">
          <w:rPr>
            <w:rStyle w:val="PageNumber"/>
            <w:color w:val="7F7F7F" w:themeColor="text1" w:themeTint="80"/>
          </w:rPr>
          <w:instrText xml:space="preserve"> PAGE </w:instrText>
        </w:r>
        <w:r w:rsidRPr="00A45643">
          <w:rPr>
            <w:rStyle w:val="PageNumber"/>
            <w:color w:val="7F7F7F" w:themeColor="text1" w:themeTint="80"/>
          </w:rPr>
          <w:fldChar w:fldCharType="separate"/>
        </w:r>
        <w:r w:rsidRPr="00A45643">
          <w:rPr>
            <w:rStyle w:val="PageNumber"/>
            <w:noProof/>
            <w:color w:val="7F7F7F" w:themeColor="text1" w:themeTint="80"/>
          </w:rPr>
          <w:t>2</w:t>
        </w:r>
        <w:r w:rsidRPr="00A45643">
          <w:rPr>
            <w:rStyle w:val="PageNumber"/>
            <w:color w:val="7F7F7F" w:themeColor="text1" w:themeTint="80"/>
          </w:rPr>
          <w:fldChar w:fldCharType="end"/>
        </w:r>
      </w:p>
    </w:sdtContent>
  </w:sdt>
  <w:p w14:paraId="60254F02" w14:textId="49DE1186" w:rsidR="00A45643" w:rsidRDefault="00A45643" w:rsidP="00A45643">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CF387" w14:textId="7D3A1D50" w:rsidR="00A45643" w:rsidRDefault="00A45643">
    <w:pPr>
      <w:pStyle w:val="Footer"/>
    </w:pPr>
    <w:r>
      <w:rPr>
        <w:noProof/>
      </w:rPr>
      <w:drawing>
        <wp:anchor distT="0" distB="0" distL="114300" distR="114300" simplePos="0" relativeHeight="251663360" behindDoc="0" locked="0" layoutInCell="1" allowOverlap="1" wp14:anchorId="39839028" wp14:editId="5E8DBA4A">
          <wp:simplePos x="0" y="0"/>
          <wp:positionH relativeFrom="column">
            <wp:posOffset>-286385</wp:posOffset>
          </wp:positionH>
          <wp:positionV relativeFrom="paragraph">
            <wp:posOffset>-392521</wp:posOffset>
          </wp:positionV>
          <wp:extent cx="2752344" cy="731520"/>
          <wp:effectExtent l="0" t="0" r="3810" b="508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rporate Letterhead_Footer.jpg"/>
                  <pic:cNvPicPr/>
                </pic:nvPicPr>
                <pic:blipFill>
                  <a:blip r:embed="rId1">
                    <a:extLst>
                      <a:ext uri="{28A0092B-C50C-407E-A947-70E740481C1C}">
                        <a14:useLocalDpi xmlns:a14="http://schemas.microsoft.com/office/drawing/2010/main" val="0"/>
                      </a:ext>
                    </a:extLst>
                  </a:blip>
                  <a:stretch>
                    <a:fillRect/>
                  </a:stretch>
                </pic:blipFill>
                <pic:spPr>
                  <a:xfrm>
                    <a:off x="0" y="0"/>
                    <a:ext cx="2752344" cy="73152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4E302D" w14:textId="77777777" w:rsidR="00AF68C5" w:rsidRDefault="00AF68C5" w:rsidP="00D5641F">
      <w:r>
        <w:separator/>
      </w:r>
    </w:p>
  </w:footnote>
  <w:footnote w:type="continuationSeparator" w:id="0">
    <w:p w14:paraId="0A348688" w14:textId="77777777" w:rsidR="00AF68C5" w:rsidRDefault="00AF68C5" w:rsidP="00D564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8EE41" w14:textId="0A0AA8E5" w:rsidR="00D5641F" w:rsidRDefault="00D5641F">
    <w:pPr>
      <w:pStyle w:val="Header"/>
    </w:pPr>
    <w:r>
      <w:rPr>
        <w:noProof/>
      </w:rPr>
      <w:drawing>
        <wp:anchor distT="0" distB="0" distL="114300" distR="114300" simplePos="0" relativeHeight="251659264" behindDoc="0" locked="0" layoutInCell="1" allowOverlap="1" wp14:anchorId="55FE1608" wp14:editId="35AF2AB7">
          <wp:simplePos x="0" y="0"/>
          <wp:positionH relativeFrom="column">
            <wp:posOffset>-913074</wp:posOffset>
          </wp:positionH>
          <wp:positionV relativeFrom="paragraph">
            <wp:posOffset>0</wp:posOffset>
          </wp:positionV>
          <wp:extent cx="3557016" cy="896095"/>
          <wp:effectExtent l="0" t="0" r="0" b="571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porate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3557016" cy="89609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5B3CB2" w14:textId="2F4A2DE9" w:rsidR="00A45643" w:rsidRDefault="00A45643">
    <w:pPr>
      <w:pStyle w:val="Header"/>
    </w:pPr>
    <w:r>
      <w:rPr>
        <w:noProof/>
      </w:rPr>
      <w:drawing>
        <wp:anchor distT="0" distB="0" distL="114300" distR="114300" simplePos="0" relativeHeight="251665408" behindDoc="0" locked="0" layoutInCell="1" allowOverlap="1" wp14:anchorId="4BD01A56" wp14:editId="16E3F69B">
          <wp:simplePos x="0" y="0"/>
          <wp:positionH relativeFrom="column">
            <wp:posOffset>-914454</wp:posOffset>
          </wp:positionH>
          <wp:positionV relativeFrom="paragraph">
            <wp:posOffset>0</wp:posOffset>
          </wp:positionV>
          <wp:extent cx="3557016" cy="896095"/>
          <wp:effectExtent l="0" t="0" r="0" b="571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porate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3557016" cy="8960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985A8C"/>
    <w:multiLevelType w:val="hybridMultilevel"/>
    <w:tmpl w:val="FA6CAF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2C2B73"/>
    <w:multiLevelType w:val="hybridMultilevel"/>
    <w:tmpl w:val="F86CDE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795564"/>
    <w:multiLevelType w:val="hybridMultilevel"/>
    <w:tmpl w:val="011001A4"/>
    <w:lvl w:ilvl="0" w:tplc="E98C32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C9403ED"/>
    <w:multiLevelType w:val="hybridMultilevel"/>
    <w:tmpl w:val="9AE49B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D23048B"/>
    <w:multiLevelType w:val="hybridMultilevel"/>
    <w:tmpl w:val="2E5E11A4"/>
    <w:lvl w:ilvl="0" w:tplc="BFD83FC4">
      <w:start w:val="1"/>
      <w:numFmt w:val="decimal"/>
      <w:pStyle w:val="Question"/>
      <w:lvlText w:val="%1."/>
      <w:lvlJc w:val="left"/>
      <w:pPr>
        <w:tabs>
          <w:tab w:val="num" w:pos="720"/>
        </w:tabs>
        <w:ind w:left="720" w:hanging="720"/>
      </w:pPr>
    </w:lvl>
    <w:lvl w:ilvl="1" w:tplc="E87A55EE">
      <w:start w:val="1"/>
      <w:numFmt w:val="lowerLetter"/>
      <w:pStyle w:val="Answ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41F"/>
    <w:rsid w:val="00011A34"/>
    <w:rsid w:val="00215EF5"/>
    <w:rsid w:val="00224DBD"/>
    <w:rsid w:val="00234BD3"/>
    <w:rsid w:val="00262865"/>
    <w:rsid w:val="002A6EFB"/>
    <w:rsid w:val="002E2F63"/>
    <w:rsid w:val="00384DFD"/>
    <w:rsid w:val="00386EEB"/>
    <w:rsid w:val="003C7530"/>
    <w:rsid w:val="0043585D"/>
    <w:rsid w:val="004E5944"/>
    <w:rsid w:val="004E5D94"/>
    <w:rsid w:val="00511723"/>
    <w:rsid w:val="005672CC"/>
    <w:rsid w:val="005A0DAB"/>
    <w:rsid w:val="005C3570"/>
    <w:rsid w:val="005D0C2C"/>
    <w:rsid w:val="0062754F"/>
    <w:rsid w:val="006C7CDA"/>
    <w:rsid w:val="006E3554"/>
    <w:rsid w:val="0071006F"/>
    <w:rsid w:val="00711B58"/>
    <w:rsid w:val="00760465"/>
    <w:rsid w:val="00826B6A"/>
    <w:rsid w:val="00830356"/>
    <w:rsid w:val="00870284"/>
    <w:rsid w:val="008979BA"/>
    <w:rsid w:val="009802D7"/>
    <w:rsid w:val="0098441C"/>
    <w:rsid w:val="00997332"/>
    <w:rsid w:val="009A0F75"/>
    <w:rsid w:val="009D743C"/>
    <w:rsid w:val="00A45643"/>
    <w:rsid w:val="00AA48DD"/>
    <w:rsid w:val="00AA717C"/>
    <w:rsid w:val="00AB07A0"/>
    <w:rsid w:val="00AF68C5"/>
    <w:rsid w:val="00B42D44"/>
    <w:rsid w:val="00B566A4"/>
    <w:rsid w:val="00B71549"/>
    <w:rsid w:val="00BA7854"/>
    <w:rsid w:val="00BB77C4"/>
    <w:rsid w:val="00C12C1C"/>
    <w:rsid w:val="00C54291"/>
    <w:rsid w:val="00CE1935"/>
    <w:rsid w:val="00CF74CD"/>
    <w:rsid w:val="00D075A1"/>
    <w:rsid w:val="00D3750E"/>
    <w:rsid w:val="00D5641F"/>
    <w:rsid w:val="00D85282"/>
    <w:rsid w:val="00D9214B"/>
    <w:rsid w:val="00D96BBE"/>
    <w:rsid w:val="00DC61C9"/>
    <w:rsid w:val="00DE668C"/>
    <w:rsid w:val="00E00FF8"/>
    <w:rsid w:val="00E72CA0"/>
    <w:rsid w:val="00E753FA"/>
    <w:rsid w:val="00E9439E"/>
    <w:rsid w:val="00F11021"/>
    <w:rsid w:val="00FB7F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4587D"/>
  <w15:chartTrackingRefBased/>
  <w15:docId w15:val="{E3F079F8-63B4-F043-8ADB-CA28223BA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641F"/>
    <w:pPr>
      <w:tabs>
        <w:tab w:val="center" w:pos="4680"/>
        <w:tab w:val="right" w:pos="9360"/>
      </w:tabs>
    </w:pPr>
  </w:style>
  <w:style w:type="character" w:customStyle="1" w:styleId="HeaderChar">
    <w:name w:val="Header Char"/>
    <w:basedOn w:val="DefaultParagraphFont"/>
    <w:link w:val="Header"/>
    <w:uiPriority w:val="99"/>
    <w:rsid w:val="00D5641F"/>
  </w:style>
  <w:style w:type="paragraph" w:styleId="Footer">
    <w:name w:val="footer"/>
    <w:basedOn w:val="Normal"/>
    <w:link w:val="FooterChar"/>
    <w:uiPriority w:val="99"/>
    <w:unhideWhenUsed/>
    <w:rsid w:val="00D5641F"/>
    <w:pPr>
      <w:tabs>
        <w:tab w:val="center" w:pos="4680"/>
        <w:tab w:val="right" w:pos="9360"/>
      </w:tabs>
    </w:pPr>
  </w:style>
  <w:style w:type="character" w:customStyle="1" w:styleId="FooterChar">
    <w:name w:val="Footer Char"/>
    <w:basedOn w:val="DefaultParagraphFont"/>
    <w:link w:val="Footer"/>
    <w:uiPriority w:val="99"/>
    <w:rsid w:val="00D5641F"/>
  </w:style>
  <w:style w:type="character" w:styleId="PageNumber">
    <w:name w:val="page number"/>
    <w:basedOn w:val="DefaultParagraphFont"/>
    <w:uiPriority w:val="99"/>
    <w:semiHidden/>
    <w:unhideWhenUsed/>
    <w:rsid w:val="00A45643"/>
  </w:style>
  <w:style w:type="paragraph" w:customStyle="1" w:styleId="Question">
    <w:name w:val="Question"/>
    <w:basedOn w:val="Normal"/>
    <w:qFormat/>
    <w:rsid w:val="00C54291"/>
    <w:pPr>
      <w:keepLines/>
      <w:numPr>
        <w:numId w:val="1"/>
      </w:numPr>
      <w:tabs>
        <w:tab w:val="num" w:pos="360"/>
      </w:tabs>
      <w:spacing w:before="480" w:after="120" w:line="312" w:lineRule="auto"/>
      <w:ind w:left="360" w:hanging="360"/>
    </w:pPr>
    <w:rPr>
      <w:rFonts w:eastAsia="Times New Roman" w:cs="Times New Roman"/>
      <w:sz w:val="20"/>
    </w:rPr>
  </w:style>
  <w:style w:type="paragraph" w:customStyle="1" w:styleId="Answer">
    <w:name w:val="Answer"/>
    <w:basedOn w:val="Normal"/>
    <w:qFormat/>
    <w:rsid w:val="00C54291"/>
    <w:pPr>
      <w:keepLines/>
      <w:numPr>
        <w:ilvl w:val="1"/>
        <w:numId w:val="2"/>
      </w:numPr>
      <w:spacing w:after="120" w:line="312" w:lineRule="auto"/>
    </w:pPr>
    <w:rPr>
      <w:rFonts w:eastAsia="Century Gothic" w:cs="Times New Roman"/>
      <w:sz w:val="20"/>
      <w:szCs w:val="22"/>
    </w:rPr>
  </w:style>
  <w:style w:type="paragraph" w:customStyle="1" w:styleId="Instructions">
    <w:name w:val="Instructions"/>
    <w:basedOn w:val="Normal"/>
    <w:qFormat/>
    <w:rsid w:val="00C54291"/>
    <w:pPr>
      <w:pBdr>
        <w:bottom w:val="single" w:sz="4" w:space="3" w:color="auto"/>
      </w:pBdr>
      <w:spacing w:before="400"/>
    </w:pPr>
    <w:rPr>
      <w:rFonts w:eastAsia="Times New Roman" w:cs="Times New Roman"/>
      <w:i/>
      <w:sz w:val="20"/>
    </w:rPr>
  </w:style>
  <w:style w:type="paragraph" w:styleId="Title">
    <w:name w:val="Title"/>
    <w:basedOn w:val="Normal"/>
    <w:next w:val="Normal"/>
    <w:link w:val="TitleChar"/>
    <w:uiPriority w:val="10"/>
    <w:qFormat/>
    <w:rsid w:val="004E5D9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5D94"/>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5C3570"/>
    <w:pPr>
      <w:spacing w:after="160" w:line="259"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7962721">
      <w:bodyDiv w:val="1"/>
      <w:marLeft w:val="0"/>
      <w:marRight w:val="0"/>
      <w:marTop w:val="0"/>
      <w:marBottom w:val="0"/>
      <w:divBdr>
        <w:top w:val="none" w:sz="0" w:space="0" w:color="auto"/>
        <w:left w:val="none" w:sz="0" w:space="0" w:color="auto"/>
        <w:bottom w:val="none" w:sz="0" w:space="0" w:color="auto"/>
        <w:right w:val="none" w:sz="0" w:space="0" w:color="auto"/>
      </w:divBdr>
    </w:div>
    <w:div w:id="1699430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0cf449d6-2ee5-49c8-b235-280ad5924c7d">ZNS7K36FFV7K-337-25770</_dlc_DocId>
    <_dlc_DocIdUrl xmlns="0cf449d6-2ee5-49c8-b235-280ad5924c7d">
      <Url>https://home.smithers.com/ops/sqa/_layouts/15/DocIdRedir.aspx?ID=ZNS7K36FFV7K-337-25770</Url>
      <Description>ZNS7K36FFV7K-337-25770</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733A6A48E33C48B65402FE18CC1841" ma:contentTypeVersion="7" ma:contentTypeDescription="Create a new document." ma:contentTypeScope="" ma:versionID="78f69970546295508ef2d5ee2c7c6ee9">
  <xsd:schema xmlns:xsd="http://www.w3.org/2001/XMLSchema" xmlns:xs="http://www.w3.org/2001/XMLSchema" xmlns:p="http://schemas.microsoft.com/office/2006/metadata/properties" xmlns:ns2="0cf449d6-2ee5-49c8-b235-280ad5924c7d" targetNamespace="http://schemas.microsoft.com/office/2006/metadata/properties" ma:root="true" ma:fieldsID="5a68d5907697f8b36d59ac3f28cec11f" ns2:_="">
    <xsd:import namespace="0cf449d6-2ee5-49c8-b235-280ad5924c7d"/>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f449d6-2ee5-49c8-b235-280ad5924c7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Item"/>
        <xsd:element ref="dc:subject" minOccurs="0" maxOccurs="1"/>
        <xsd:element ref="dc:description" minOccurs="0" maxOccurs="1" ma:index="11"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3F359EC-0923-4E76-9761-D3B7ADAA84FF}">
  <ds:schemaRefs>
    <ds:schemaRef ds:uri="http://schemas.microsoft.com/sharepoint/v3/contenttype/forms"/>
  </ds:schemaRefs>
</ds:datastoreItem>
</file>

<file path=customXml/itemProps2.xml><?xml version="1.0" encoding="utf-8"?>
<ds:datastoreItem xmlns:ds="http://schemas.openxmlformats.org/officeDocument/2006/customXml" ds:itemID="{E6C1299F-3340-434A-A1E2-72DE9975629C}">
  <ds:schemaRefs>
    <ds:schemaRef ds:uri="http://schemas.microsoft.com/office/2006/metadata/properties"/>
    <ds:schemaRef ds:uri="http://schemas.microsoft.com/office/infopath/2007/PartnerControls"/>
    <ds:schemaRef ds:uri="0cf449d6-2ee5-49c8-b235-280ad5924c7d"/>
  </ds:schemaRefs>
</ds:datastoreItem>
</file>

<file path=customXml/itemProps3.xml><?xml version="1.0" encoding="utf-8"?>
<ds:datastoreItem xmlns:ds="http://schemas.openxmlformats.org/officeDocument/2006/customXml" ds:itemID="{3DA6A412-E30C-4EF5-9357-EBA8EDACEF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f449d6-2ee5-49c8-b235-280ad5924c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55E201-A433-4896-A24C-CF40964B91F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409</Words>
  <Characters>2334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Tokos</dc:creator>
  <cp:keywords/>
  <dc:description/>
  <cp:lastModifiedBy>Brian Glymph</cp:lastModifiedBy>
  <cp:revision>2</cp:revision>
  <cp:lastPrinted>2019-10-10T20:47:00Z</cp:lastPrinted>
  <dcterms:created xsi:type="dcterms:W3CDTF">2020-07-07T13:42:00Z</dcterms:created>
  <dcterms:modified xsi:type="dcterms:W3CDTF">2020-07-07T13:42:00Z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0x0101003B733A6A48E33C48B65402FE18CC1841</vt:lpwstr>
  </property>
  <property fmtid="{D5CDD505-2E9C-101B-9397-08002B2CF9AE}" pid="3" name="_dlc_DocIdItemGuid">
    <vt:lpwstr>18645064-3d2f-4055-a89e-f1fd77db12eb</vt:lpwstr>
  </property>
</Properties>
</file>